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bookmarkStart w:id="0" w:name="_GoBack"/>
      <w:bookmarkEnd w:id="0"/>
    </w:p>
    <w:p w:rsidR="000505CF" w:rsidRPr="0026201A" w:rsidRDefault="0081709E"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465DC2">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465DC2">
              <w:rPr>
                <w:rFonts w:cs="Traditional Arabic" w:hint="cs"/>
                <w:b/>
                <w:bCs/>
                <w:color w:val="4F81BD"/>
                <w:sz w:val="20"/>
                <w:szCs w:val="30"/>
                <w:rtl/>
                <w:lang w:val="en-GB"/>
              </w:rPr>
              <w:t>8</w:t>
            </w:r>
            <w:r w:rsidRPr="0026201A">
              <w:rPr>
                <w:rFonts w:cs="Traditional Arabic"/>
                <w:b/>
                <w:bCs/>
                <w:color w:val="4F81BD"/>
                <w:sz w:val="20"/>
                <w:szCs w:val="30"/>
                <w:rtl/>
                <w:lang w:val="en-GB"/>
              </w:rPr>
              <w:t xml:space="preserve">: </w:t>
            </w:r>
            <w:r w:rsidR="00465DC2">
              <w:rPr>
                <w:rFonts w:cs="Traditional Arabic" w:hint="cs"/>
                <w:b/>
                <w:bCs/>
                <w:color w:val="4F81BD"/>
                <w:sz w:val="20"/>
                <w:szCs w:val="30"/>
                <w:rtl/>
                <w:lang w:val="en-GB"/>
              </w:rPr>
              <w:t>البروتوكول الاختياري</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81709E"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Default="00465DC2" w:rsidP="00F50E48">
            <w:pPr>
              <w:pStyle w:val="ListParagraph"/>
              <w:keepNext/>
              <w:numPr>
                <w:ilvl w:val="0"/>
                <w:numId w:val="3"/>
              </w:numPr>
              <w:bidi/>
              <w:rPr>
                <w:rFonts w:cs="Traditional Arabic"/>
                <w:sz w:val="20"/>
                <w:szCs w:val="30"/>
                <w:lang w:val="en-GB"/>
              </w:rPr>
            </w:pPr>
            <w:r>
              <w:rPr>
                <w:rFonts w:cs="Traditional Arabic" w:hint="cs"/>
                <w:sz w:val="20"/>
                <w:szCs w:val="30"/>
                <w:rtl/>
                <w:lang w:val="en-GB"/>
              </w:rPr>
              <w:t>العرض</w:t>
            </w:r>
          </w:p>
          <w:p w:rsidR="00465DC2" w:rsidRDefault="00465DC2" w:rsidP="00465DC2">
            <w:pPr>
              <w:pStyle w:val="ListParagraph"/>
              <w:keepNext/>
              <w:numPr>
                <w:ilvl w:val="0"/>
                <w:numId w:val="3"/>
              </w:numPr>
              <w:bidi/>
              <w:rPr>
                <w:rFonts w:cs="Traditional Arabic"/>
                <w:sz w:val="20"/>
                <w:szCs w:val="30"/>
                <w:lang w:val="en-GB"/>
              </w:rPr>
            </w:pPr>
            <w:r>
              <w:rPr>
                <w:rFonts w:cs="Traditional Arabic" w:hint="cs"/>
                <w:sz w:val="20"/>
                <w:szCs w:val="30"/>
                <w:rtl/>
                <w:lang w:val="en-GB"/>
              </w:rPr>
              <w:t>نشاط جماعي</w:t>
            </w:r>
          </w:p>
          <w:p w:rsidR="00465DC2" w:rsidRPr="00F50E48" w:rsidRDefault="00465DC2" w:rsidP="00465DC2">
            <w:pPr>
              <w:pStyle w:val="ListParagraph"/>
              <w:keepNext/>
              <w:numPr>
                <w:ilvl w:val="0"/>
                <w:numId w:val="3"/>
              </w:numPr>
              <w:bidi/>
              <w:rPr>
                <w:rFonts w:cs="Traditional Arabic"/>
                <w:sz w:val="20"/>
                <w:szCs w:val="30"/>
                <w:lang w:val="en-GB"/>
              </w:rPr>
            </w:pPr>
            <w:r>
              <w:rPr>
                <w:rFonts w:cs="Traditional Arabic" w:hint="cs"/>
                <w:sz w:val="20"/>
                <w:szCs w:val="30"/>
                <w:rtl/>
                <w:lang w:val="en-GB"/>
              </w:rPr>
              <w:t>التلخيص النهائي</w:t>
            </w: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465DC2" w:rsidP="00A068AF">
            <w:pPr>
              <w:keepNext/>
              <w:bidi/>
              <w:rPr>
                <w:rFonts w:cs="Traditional Arabic"/>
                <w:sz w:val="20"/>
                <w:szCs w:val="30"/>
                <w:lang w:val="en-GB"/>
              </w:rPr>
            </w:pPr>
            <w:r>
              <w:rPr>
                <w:rFonts w:cs="Traditional Arabic" w:hint="cs"/>
                <w:sz w:val="20"/>
                <w:szCs w:val="30"/>
                <w:rtl/>
                <w:lang w:val="en-GB"/>
              </w:rPr>
              <w:t>ساعة واحدة و15 دقيقة</w:t>
            </w:r>
          </w:p>
          <w:p w:rsidR="000505CF" w:rsidRPr="0026201A" w:rsidRDefault="00465DC2" w:rsidP="00F50E48">
            <w:pPr>
              <w:pStyle w:val="ListParagraph"/>
              <w:keepNext/>
              <w:numPr>
                <w:ilvl w:val="0"/>
                <w:numId w:val="11"/>
              </w:numPr>
              <w:bidi/>
              <w:rPr>
                <w:rFonts w:cs="Traditional Arabic"/>
                <w:sz w:val="20"/>
                <w:szCs w:val="30"/>
                <w:lang w:val="en-GB"/>
              </w:rPr>
            </w:pPr>
            <w:r>
              <w:rPr>
                <w:rFonts w:cs="Traditional Arabic" w:hint="cs"/>
                <w:sz w:val="20"/>
                <w:szCs w:val="30"/>
                <w:rtl/>
                <w:lang w:val="en-GB"/>
              </w:rPr>
              <w:t>30 دقيقة: العرض</w:t>
            </w:r>
          </w:p>
          <w:p w:rsidR="00F50E48" w:rsidRPr="00465DC2" w:rsidRDefault="00F50E48" w:rsidP="00465DC2">
            <w:pPr>
              <w:pStyle w:val="ListParagraph"/>
              <w:keepNext/>
              <w:numPr>
                <w:ilvl w:val="0"/>
                <w:numId w:val="11"/>
              </w:numPr>
              <w:bidi/>
              <w:rPr>
                <w:rFonts w:cs="Traditional Arabic"/>
                <w:sz w:val="20"/>
                <w:szCs w:val="30"/>
                <w:rtl/>
                <w:lang w:val="en-GB"/>
              </w:rPr>
            </w:pPr>
            <w:r>
              <w:rPr>
                <w:rFonts w:cs="Traditional Arabic" w:hint="cs"/>
                <w:sz w:val="20"/>
                <w:szCs w:val="30"/>
                <w:rtl/>
                <w:lang w:val="en-GB"/>
              </w:rPr>
              <w:t xml:space="preserve">45: </w:t>
            </w:r>
            <w:r w:rsidR="00465DC2">
              <w:rPr>
                <w:rFonts w:cs="Traditional Arabic" w:hint="cs"/>
                <w:sz w:val="20"/>
                <w:szCs w:val="30"/>
                <w:rtl/>
                <w:lang w:val="en-GB"/>
              </w:rPr>
              <w:t>النشاط الجماعي</w:t>
            </w:r>
          </w:p>
        </w:tc>
      </w:tr>
      <w:tr w:rsidR="000505CF" w:rsidRPr="0026201A" w:rsidTr="00F50E48">
        <w:trPr>
          <w:trHeight w:val="2064"/>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81709E" w:rsidP="0026201A">
            <w:pPr>
              <w:keepNext/>
              <w:bidi/>
              <w:jc w:val="right"/>
              <w:rPr>
                <w:rFonts w:cs="Traditional Arabic"/>
                <w:sz w:val="20"/>
                <w:szCs w:val="30"/>
                <w:lang w:val="en-GB"/>
              </w:rPr>
            </w:pPr>
            <w:r>
              <w:rPr>
                <w:rFonts w:cs="Traditional Arabic"/>
                <w:noProof/>
                <w:sz w:val="20"/>
                <w:szCs w:val="30"/>
              </w:rPr>
              <w:drawing>
                <wp:inline distT="0" distB="0" distL="0" distR="0" wp14:anchorId="1B9E5B9E" wp14:editId="252D7F16">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14:anchorId="5D713BCB" wp14:editId="5C0FBB8D">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Default="000505CF" w:rsidP="00465DC2">
            <w:pPr>
              <w:pStyle w:val="ListParagraph"/>
              <w:keepNext/>
              <w:numPr>
                <w:ilvl w:val="0"/>
                <w:numId w:val="13"/>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008C3ADE">
              <w:rPr>
                <w:rFonts w:cs="Traditional Arabic" w:hint="cs"/>
                <w:sz w:val="20"/>
                <w:szCs w:val="30"/>
                <w:rtl/>
                <w:lang w:val="en-GB"/>
              </w:rPr>
              <w:t xml:space="preserve">عن </w:t>
            </w:r>
            <w:r w:rsidR="00465DC2">
              <w:rPr>
                <w:rFonts w:cs="Traditional Arabic" w:hint="cs"/>
                <w:sz w:val="20"/>
                <w:szCs w:val="30"/>
                <w:rtl/>
                <w:lang w:val="en-GB"/>
              </w:rPr>
              <w:t>البروتوكول الاختياري</w:t>
            </w:r>
          </w:p>
          <w:p w:rsidR="00465DC2" w:rsidRDefault="00465DC2" w:rsidP="00465DC2">
            <w:pPr>
              <w:pStyle w:val="ListParagraph"/>
              <w:keepNext/>
              <w:numPr>
                <w:ilvl w:val="0"/>
                <w:numId w:val="13"/>
              </w:numPr>
              <w:bidi/>
              <w:ind w:right="22"/>
              <w:rPr>
                <w:rFonts w:cs="Traditional Arabic"/>
                <w:sz w:val="20"/>
                <w:szCs w:val="30"/>
                <w:lang w:val="en-GB"/>
              </w:rPr>
            </w:pPr>
            <w:r>
              <w:rPr>
                <w:rFonts w:cs="Traditional Arabic" w:hint="cs"/>
                <w:sz w:val="20"/>
                <w:szCs w:val="30"/>
                <w:rtl/>
                <w:lang w:val="en-GB"/>
              </w:rPr>
              <w:t>مذكرة الميسِّر (هذه المذكرة)</w:t>
            </w:r>
          </w:p>
          <w:p w:rsidR="00465DC2" w:rsidRPr="00465DC2" w:rsidRDefault="00465DC2" w:rsidP="008836C8">
            <w:pPr>
              <w:pStyle w:val="ListParagraph"/>
              <w:keepNext/>
              <w:numPr>
                <w:ilvl w:val="0"/>
                <w:numId w:val="13"/>
              </w:numPr>
              <w:bidi/>
              <w:ind w:right="22"/>
              <w:rPr>
                <w:rFonts w:cs="Traditional Arabic"/>
                <w:sz w:val="20"/>
                <w:szCs w:val="30"/>
                <w:lang w:val="en-GB"/>
              </w:rPr>
            </w:pPr>
            <w:r>
              <w:rPr>
                <w:rFonts w:cs="Traditional Arabic" w:hint="cs"/>
                <w:sz w:val="20"/>
                <w:szCs w:val="30"/>
                <w:rtl/>
                <w:lang w:val="en-GB"/>
              </w:rPr>
              <w:t xml:space="preserve">تعليمات للنشاط الاجتماعي </w:t>
            </w:r>
            <w:r w:rsidR="008836C8">
              <w:rPr>
                <w:rFonts w:cs="Traditional Arabic" w:hint="cs"/>
                <w:sz w:val="20"/>
                <w:szCs w:val="30"/>
                <w:rtl/>
                <w:lang w:val="en-GB"/>
              </w:rPr>
              <w:t>"</w:t>
            </w:r>
            <w:r>
              <w:rPr>
                <w:rFonts w:cs="Traditional Arabic" w:hint="cs"/>
                <w:sz w:val="20"/>
                <w:szCs w:val="30"/>
                <w:rtl/>
                <w:lang w:val="en-GB"/>
              </w:rPr>
              <w:t>عرض حالة على اللجنة المعنية بحقوق الأشخاص ذوي الإعاقة</w:t>
            </w:r>
            <w:r w:rsidR="008836C8">
              <w:rPr>
                <w:rFonts w:cs="Traditional Arabic" w:hint="cs"/>
                <w:sz w:val="20"/>
                <w:szCs w:val="30"/>
                <w:rtl/>
                <w:lang w:val="en-GB"/>
              </w:rPr>
              <w:t>"</w:t>
            </w:r>
          </w:p>
        </w:tc>
      </w:tr>
      <w:tr w:rsidR="000505CF" w:rsidRPr="0026201A" w:rsidTr="00F50E48">
        <w:trPr>
          <w:trHeight w:val="2165"/>
        </w:trPr>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81709E" w:rsidP="0026201A">
            <w:pPr>
              <w:keepNext/>
              <w:bidi/>
              <w:jc w:val="center"/>
              <w:rPr>
                <w:rFonts w:cs="Traditional Arabic"/>
                <w:b/>
                <w:sz w:val="20"/>
                <w:szCs w:val="30"/>
                <w:lang w:val="en-GB"/>
              </w:rPr>
            </w:pPr>
            <w:r>
              <w:rPr>
                <w:rFonts w:cs="Traditional Arabic"/>
                <w:b/>
                <w:noProof/>
                <w:sz w:val="20"/>
                <w:szCs w:val="30"/>
              </w:rPr>
              <w:drawing>
                <wp:inline distT="0" distB="0" distL="0" distR="0" wp14:anchorId="6721449B" wp14:editId="0251EE5D">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E01FCC" w:rsidRDefault="00F50E48" w:rsidP="00465DC2">
            <w:pPr>
              <w:keepNext/>
              <w:numPr>
                <w:ilvl w:val="0"/>
                <w:numId w:val="14"/>
              </w:numPr>
              <w:bidi/>
              <w:ind w:right="22"/>
              <w:jc w:val="lowKashida"/>
              <w:rPr>
                <w:rFonts w:cs="Traditional Arabic"/>
                <w:sz w:val="20"/>
                <w:szCs w:val="30"/>
                <w:lang w:val="en-GB"/>
              </w:rPr>
            </w:pPr>
            <w:r>
              <w:rPr>
                <w:rFonts w:cs="Traditional Arabic" w:hint="cs"/>
                <w:sz w:val="20"/>
                <w:szCs w:val="30"/>
                <w:rtl/>
                <w:lang w:val="en-GB" w:bidi="ar-EG"/>
              </w:rPr>
              <w:t>لمعرفة المصادر والمراجع والمواقع الشبكية المستخدمة، انظر الشريحة الأخيرة</w:t>
            </w:r>
          </w:p>
          <w:p w:rsidR="0037111A" w:rsidRDefault="00F50E48" w:rsidP="00465DC2">
            <w:pPr>
              <w:keepNext/>
              <w:numPr>
                <w:ilvl w:val="0"/>
                <w:numId w:val="14"/>
              </w:numPr>
              <w:bidi/>
              <w:ind w:right="22"/>
              <w:jc w:val="lowKashida"/>
              <w:rPr>
                <w:rFonts w:cs="Traditional Arabic"/>
                <w:sz w:val="20"/>
                <w:szCs w:val="30"/>
                <w:lang w:val="en-GB"/>
              </w:rPr>
            </w:pPr>
            <w:r>
              <w:rPr>
                <w:rFonts w:cs="Traditional Arabic" w:hint="cs"/>
                <w:i/>
                <w:iCs/>
                <w:sz w:val="20"/>
                <w:szCs w:val="30"/>
                <w:rtl/>
                <w:lang w:val="en-GB"/>
              </w:rPr>
              <w:t>التدريب في مجال حقوق الإنسان: دليل عن منهجية التدريب في مجال حقوق الإنسان</w:t>
            </w:r>
            <w:r>
              <w:rPr>
                <w:rFonts w:cs="Traditional Arabic" w:hint="cs"/>
                <w:sz w:val="20"/>
                <w:szCs w:val="30"/>
                <w:rtl/>
                <w:lang w:val="en-GB"/>
              </w:rPr>
              <w:t>، سلسلة التدريب المهني رقم 6</w:t>
            </w:r>
          </w:p>
          <w:p w:rsidR="000505CF" w:rsidRDefault="00E01FCC" w:rsidP="00465DC2">
            <w:pPr>
              <w:keepNext/>
              <w:numPr>
                <w:ilvl w:val="0"/>
                <w:numId w:val="14"/>
              </w:numPr>
              <w:bidi/>
              <w:ind w:right="22"/>
              <w:jc w:val="lowKashida"/>
              <w:rPr>
                <w:rFonts w:cs="Traditional Arabic"/>
                <w:sz w:val="20"/>
                <w:szCs w:val="30"/>
                <w:lang w:val="en-GB"/>
              </w:rPr>
            </w:pPr>
            <w:r w:rsidRPr="00E01FCC">
              <w:rPr>
                <w:rFonts w:cs="Traditional Arabic" w:hint="cs"/>
                <w:sz w:val="20"/>
                <w:szCs w:val="30"/>
                <w:rtl/>
                <w:lang w:val="en-GB"/>
              </w:rPr>
              <w:t xml:space="preserve">لمعرفة تقنيات التدريب، بما في ذلك </w:t>
            </w:r>
            <w:r>
              <w:rPr>
                <w:rFonts w:cs="Traditional Arabic" w:hint="cs"/>
                <w:sz w:val="20"/>
                <w:szCs w:val="30"/>
                <w:rtl/>
                <w:lang w:val="en-GB"/>
              </w:rPr>
              <w:t>مجموعة وسائل إذابة الجليد، انظر المواد الصادرة عن قسم المنهجية والتعليم والتدريب في المفوضية السامية لحقوق الإنسان</w:t>
            </w:r>
          </w:p>
          <w:p w:rsidR="00465DC2" w:rsidRPr="00F50E48" w:rsidRDefault="00465DC2" w:rsidP="008836C8">
            <w:pPr>
              <w:keepNext/>
              <w:numPr>
                <w:ilvl w:val="0"/>
                <w:numId w:val="14"/>
              </w:numPr>
              <w:bidi/>
              <w:ind w:right="22"/>
              <w:jc w:val="lowKashida"/>
              <w:rPr>
                <w:rFonts w:cs="Traditional Arabic"/>
                <w:sz w:val="20"/>
                <w:szCs w:val="30"/>
                <w:lang w:val="en-GB"/>
              </w:rPr>
            </w:pPr>
            <w:r>
              <w:rPr>
                <w:rFonts w:cs="Traditional Arabic" w:hint="cs"/>
                <w:sz w:val="20"/>
                <w:szCs w:val="30"/>
                <w:rtl/>
                <w:lang w:val="en-GB"/>
              </w:rPr>
              <w:t xml:space="preserve">من </w:t>
            </w:r>
            <w:r w:rsidR="008836C8">
              <w:rPr>
                <w:rFonts w:cs="Traditional Arabic" w:hint="cs"/>
                <w:sz w:val="20"/>
                <w:szCs w:val="30"/>
                <w:rtl/>
                <w:lang w:val="en-GB"/>
              </w:rPr>
              <w:t>الاقصاء</w:t>
            </w:r>
            <w:r>
              <w:rPr>
                <w:rFonts w:cs="Traditional Arabic" w:hint="cs"/>
                <w:sz w:val="20"/>
                <w:szCs w:val="30"/>
                <w:rtl/>
                <w:lang w:val="en-GB"/>
              </w:rPr>
              <w:t xml:space="preserve"> إلى المساواة: إعمال حقوق الأشخاص ذوي الإعاقة </w:t>
            </w:r>
            <w:r>
              <w:rPr>
                <w:rFonts w:cs="Traditional Arabic"/>
                <w:sz w:val="20"/>
                <w:szCs w:val="30"/>
                <w:rtl/>
                <w:lang w:val="en-GB"/>
              </w:rPr>
              <w:t>–</w:t>
            </w:r>
            <w:r>
              <w:rPr>
                <w:rFonts w:cs="Traditional Arabic" w:hint="cs"/>
                <w:sz w:val="20"/>
                <w:szCs w:val="30"/>
                <w:rtl/>
                <w:lang w:val="en-GB"/>
              </w:rPr>
              <w:t xml:space="preserve"> دليل للبرلمانيين بشأن اتفاقية حقوق الأشخاص ذوي الإعاقة وبروتوكولها الاختياري (</w:t>
            </w:r>
            <w:r w:rsidRPr="00F709A7">
              <w:rPr>
                <w:rFonts w:ascii="Arial" w:hAnsi="Arial" w:cs="Arial"/>
                <w:bCs/>
                <w:sz w:val="22"/>
                <w:szCs w:val="22"/>
                <w:lang w:val="en-GB"/>
              </w:rPr>
              <w:t>HR/PUB/07/6</w:t>
            </w:r>
            <w:r>
              <w:rPr>
                <w:rFonts w:cs="Traditional Arabic" w:hint="cs"/>
                <w:sz w:val="20"/>
                <w:szCs w:val="30"/>
                <w:rtl/>
                <w:lang w:val="en-GB"/>
              </w:rPr>
              <w:t>)، الصفحات 25-49</w:t>
            </w: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Pr="0026201A" w:rsidRDefault="0081709E" w:rsidP="003621E7">
            <w:pPr>
              <w:keepNext/>
              <w:bidi/>
              <w:jc w:val="center"/>
              <w:rPr>
                <w:rFonts w:cs="Traditional Arabic"/>
                <w:bCs/>
                <w:sz w:val="20"/>
                <w:szCs w:val="30"/>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Default="000505CF" w:rsidP="008C0CC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0505CF" w:rsidRPr="00F50E48" w:rsidRDefault="00F50E48" w:rsidP="00F50E48">
            <w:pPr>
              <w:keepNext/>
              <w:numPr>
                <w:ilvl w:val="0"/>
                <w:numId w:val="1"/>
              </w:numPr>
              <w:bidi/>
              <w:rPr>
                <w:rFonts w:cs="Traditional Arabic"/>
                <w:sz w:val="20"/>
                <w:szCs w:val="30"/>
                <w:lang w:val="en-GB"/>
              </w:rPr>
            </w:pPr>
            <w:r>
              <w:rPr>
                <w:rFonts w:cs="Traditional Arabic" w:hint="cs"/>
                <w:sz w:val="20"/>
                <w:szCs w:val="30"/>
                <w:rtl/>
                <w:lang w:val="en-GB"/>
              </w:rPr>
              <w:t>تعليمات للنشاط الجماعي</w:t>
            </w: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81709E"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611F8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465DC2" w:rsidRDefault="00465DC2" w:rsidP="00C90708">
            <w:pPr>
              <w:keepNext/>
              <w:numPr>
                <w:ilvl w:val="0"/>
                <w:numId w:val="1"/>
              </w:numPr>
              <w:bidi/>
              <w:jc w:val="both"/>
              <w:rPr>
                <w:rFonts w:cs="Traditional Arabic"/>
                <w:sz w:val="20"/>
                <w:szCs w:val="30"/>
                <w:lang w:val="en-GB"/>
              </w:rPr>
            </w:pPr>
            <w:r w:rsidRPr="00465DC2">
              <w:rPr>
                <w:rFonts w:cs="Traditional Arabic" w:hint="cs"/>
                <w:i/>
                <w:iCs/>
                <w:sz w:val="20"/>
                <w:szCs w:val="30"/>
                <w:rtl/>
                <w:lang w:val="en-GB"/>
              </w:rPr>
              <w:t xml:space="preserve">من </w:t>
            </w:r>
            <w:r w:rsidR="00C90708">
              <w:rPr>
                <w:rFonts w:cs="Traditional Arabic" w:hint="cs"/>
                <w:i/>
                <w:iCs/>
                <w:sz w:val="20"/>
                <w:szCs w:val="30"/>
                <w:rtl/>
                <w:lang w:val="en-GB"/>
              </w:rPr>
              <w:t>الاقصاء</w:t>
            </w:r>
            <w:r w:rsidRPr="00465DC2">
              <w:rPr>
                <w:rFonts w:cs="Traditional Arabic" w:hint="cs"/>
                <w:i/>
                <w:iCs/>
                <w:sz w:val="20"/>
                <w:szCs w:val="30"/>
                <w:rtl/>
                <w:lang w:val="en-GB"/>
              </w:rPr>
              <w:t xml:space="preserve"> إلى المساواة: إعمال حقوق الأشخاص ذوي الإعاقة </w:t>
            </w:r>
            <w:r w:rsidRPr="00465DC2">
              <w:rPr>
                <w:rFonts w:cs="Traditional Arabic"/>
                <w:i/>
                <w:iCs/>
                <w:sz w:val="20"/>
                <w:szCs w:val="30"/>
                <w:rtl/>
                <w:lang w:val="en-GB"/>
              </w:rPr>
              <w:t>–</w:t>
            </w:r>
            <w:r w:rsidRPr="00465DC2">
              <w:rPr>
                <w:rFonts w:cs="Traditional Arabic" w:hint="cs"/>
                <w:i/>
                <w:iCs/>
                <w:sz w:val="20"/>
                <w:szCs w:val="30"/>
                <w:rtl/>
                <w:lang w:val="en-GB"/>
              </w:rPr>
              <w:t xml:space="preserve"> دليل للبرلمانيين بشأن اتفاقية حقوق الأشخاص ذوي الإعاقة وبروتوكولها الاختياري</w:t>
            </w:r>
            <w:r>
              <w:rPr>
                <w:rFonts w:cs="Traditional Arabic" w:hint="cs"/>
                <w:sz w:val="20"/>
                <w:szCs w:val="30"/>
                <w:rtl/>
                <w:lang w:val="en-GB"/>
              </w:rPr>
              <w:t xml:space="preserve"> (</w:t>
            </w:r>
            <w:r w:rsidRPr="00F709A7">
              <w:rPr>
                <w:rFonts w:ascii="Arial" w:hAnsi="Arial" w:cs="Arial"/>
                <w:bCs/>
                <w:sz w:val="22"/>
                <w:szCs w:val="22"/>
                <w:lang w:val="en-GB"/>
              </w:rPr>
              <w:t>HR/PUB/07/6</w:t>
            </w:r>
            <w:r>
              <w:rPr>
                <w:rFonts w:cs="Traditional Arabic" w:hint="cs"/>
                <w:sz w:val="20"/>
                <w:szCs w:val="30"/>
                <w:rtl/>
                <w:lang w:val="en-GB"/>
              </w:rPr>
              <w:t>)</w:t>
            </w:r>
          </w:p>
          <w:p w:rsidR="000505CF" w:rsidRPr="00465DC2" w:rsidRDefault="00465DC2" w:rsidP="00465DC2">
            <w:pPr>
              <w:keepNext/>
              <w:numPr>
                <w:ilvl w:val="0"/>
                <w:numId w:val="1"/>
              </w:numPr>
              <w:bidi/>
              <w:jc w:val="both"/>
              <w:rPr>
                <w:rFonts w:cs="Traditional Arabic"/>
                <w:sz w:val="20"/>
                <w:szCs w:val="30"/>
                <w:lang w:val="en-GB"/>
              </w:rPr>
            </w:pPr>
            <w:r>
              <w:rPr>
                <w:rFonts w:cs="Traditional Arabic" w:hint="cs"/>
                <w:sz w:val="20"/>
                <w:szCs w:val="30"/>
                <w:rtl/>
                <w:lang w:val="en-GB"/>
              </w:rPr>
              <w:t xml:space="preserve">عناصر للبرتوكول الاختياري للعهد الدولي الخاص بالحقوق الاقتصادية والاجتماعية والثقافية </w:t>
            </w:r>
            <w:r>
              <w:rPr>
                <w:rFonts w:cs="Traditional Arabic" w:hint="cs"/>
                <w:sz w:val="20"/>
                <w:szCs w:val="30"/>
                <w:rtl/>
                <w:lang w:val="en-GB"/>
              </w:rPr>
              <w:lastRenderedPageBreak/>
              <w:t>(</w:t>
            </w:r>
            <w:r w:rsidRPr="004C6626">
              <w:rPr>
                <w:rFonts w:ascii="Arial" w:hAnsi="Arial" w:cs="Arial"/>
                <w:bCs/>
                <w:sz w:val="22"/>
                <w:szCs w:val="22"/>
                <w:lang w:val="en-GB"/>
              </w:rPr>
              <w:t>E/CN.4/2006/WG.23/2</w:t>
            </w:r>
            <w:r>
              <w:rPr>
                <w:rFonts w:cs="Traditional Arabic" w:hint="cs"/>
                <w:sz w:val="20"/>
                <w:szCs w:val="30"/>
                <w:rtl/>
                <w:lang w:val="en-GB"/>
              </w:rPr>
              <w:t>)</w:t>
            </w:r>
          </w:p>
        </w:tc>
      </w:tr>
    </w:tbl>
    <w:p w:rsidR="000505CF" w:rsidRPr="003621E7" w:rsidRDefault="000505CF" w:rsidP="0026201A">
      <w:pPr>
        <w:keepNext/>
        <w:rPr>
          <w:rFonts w:cs="Traditional Arabic"/>
          <w:b/>
          <w:bCs/>
          <w:color w:val="1F497D"/>
          <w:sz w:val="20"/>
          <w:szCs w:val="30"/>
          <w:u w:val="single"/>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t>أهداف التعلم (المهارات والمعارف والمواقف)</w:t>
      </w:r>
    </w:p>
    <w:p w:rsidR="000505CF" w:rsidRPr="00E01FCC" w:rsidRDefault="00E01FCC" w:rsidP="00F50E48">
      <w:pPr>
        <w:keepNext/>
        <w:bidi/>
        <w:spacing w:line="400" w:lineRule="exact"/>
        <w:jc w:val="lowKashida"/>
        <w:rPr>
          <w:rFonts w:cs="Traditional Arabic"/>
          <w:sz w:val="20"/>
          <w:szCs w:val="30"/>
          <w:lang w:val="en-GB"/>
        </w:rPr>
      </w:pPr>
      <w:r>
        <w:rPr>
          <w:rFonts w:cs="Traditional Arabic" w:hint="cs"/>
          <w:sz w:val="20"/>
          <w:szCs w:val="30"/>
          <w:rtl/>
          <w:lang w:val="en-GB"/>
        </w:rPr>
        <w:t xml:space="preserve">في نهاية </w:t>
      </w:r>
      <w:r w:rsidR="00F50E48">
        <w:rPr>
          <w:rFonts w:cs="Traditional Arabic" w:hint="cs"/>
          <w:sz w:val="20"/>
          <w:szCs w:val="30"/>
          <w:rtl/>
          <w:lang w:val="en-GB"/>
        </w:rPr>
        <w:t>هذه الوحدة سيتمكَّن المشاركون من:</w:t>
      </w:r>
    </w:p>
    <w:p w:rsidR="000505CF" w:rsidRDefault="00465DC2" w:rsidP="003621E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وصف السمات الرئيسية لإجراءات البلاغات والتحقيقات </w:t>
      </w:r>
      <w:r w:rsidR="00C90708">
        <w:rPr>
          <w:rFonts w:cs="Traditional Arabic" w:hint="cs"/>
          <w:sz w:val="20"/>
          <w:szCs w:val="30"/>
          <w:rtl/>
          <w:lang w:val="en-GB"/>
        </w:rPr>
        <w:t xml:space="preserve">الواردة </w:t>
      </w:r>
      <w:r>
        <w:rPr>
          <w:rFonts w:cs="Traditional Arabic" w:hint="cs"/>
          <w:sz w:val="20"/>
          <w:szCs w:val="30"/>
          <w:rtl/>
          <w:lang w:val="en-GB"/>
        </w:rPr>
        <w:t>في البروتوكول الاختياري لاتفاقية حقوق الأشخاص ذوي الإعاقة</w:t>
      </w:r>
    </w:p>
    <w:p w:rsidR="0037111A" w:rsidRDefault="00465DC2" w:rsidP="0037111A">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تعيين الأدوار الرئيسية للدول ومنظمات الأشخاص ذوي الإعاقة وأفرقة الأمم المتحدة القطرية في دعم التصديق على البروتوكول الاختياري وكفالة المتابعة الملائمة</w:t>
      </w:r>
    </w:p>
    <w:p w:rsidR="00E01FCC" w:rsidRPr="00465DC2" w:rsidRDefault="00E01FCC" w:rsidP="003621E7">
      <w:pPr>
        <w:keepNext/>
        <w:bidi/>
        <w:spacing w:line="400" w:lineRule="exact"/>
        <w:jc w:val="lowKashida"/>
        <w:rPr>
          <w:rFonts w:cs="Traditional Arabic"/>
          <w:b/>
          <w:bCs/>
          <w:color w:val="1F497D"/>
          <w:sz w:val="20"/>
          <w:szCs w:val="30"/>
          <w:u w:val="single"/>
          <w:rtl/>
          <w:lang w:val="en-GB"/>
        </w:rPr>
      </w:pPr>
    </w:p>
    <w:p w:rsidR="00083034" w:rsidRPr="0022023F" w:rsidRDefault="00083034" w:rsidP="00465DC2">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r w:rsidR="007A6D1F">
        <w:rPr>
          <w:rFonts w:cs="Traditional Arabic" w:hint="cs"/>
          <w:b/>
          <w:bCs/>
          <w:color w:val="1F497D"/>
          <w:sz w:val="20"/>
          <w:szCs w:val="30"/>
          <w:u w:val="single"/>
          <w:rtl/>
          <w:lang w:val="en-GB"/>
        </w:rPr>
        <w:t xml:space="preserve">: </w:t>
      </w:r>
    </w:p>
    <w:p w:rsidR="00083034" w:rsidRDefault="00083034" w:rsidP="0064791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083034" w:rsidRDefault="00083034" w:rsidP="00465DC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w:t>
      </w:r>
      <w:r w:rsidR="00CC124B">
        <w:rPr>
          <w:rFonts w:cs="Traditional Arabic" w:hint="cs"/>
          <w:sz w:val="20"/>
          <w:szCs w:val="30"/>
          <w:rtl/>
          <w:lang w:val="en-GB"/>
        </w:rPr>
        <w:t xml:space="preserve">تعرض </w:t>
      </w:r>
      <w:r w:rsidR="00465DC2">
        <w:rPr>
          <w:rFonts w:cs="Traditional Arabic" w:hint="cs"/>
          <w:sz w:val="20"/>
          <w:szCs w:val="30"/>
          <w:rtl/>
          <w:lang w:val="en-GB"/>
        </w:rPr>
        <w:t>الأهداف وسير الوحدة</w:t>
      </w:r>
    </w:p>
    <w:p w:rsidR="00083034" w:rsidRDefault="00083034" w:rsidP="00465DC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w:t>
      </w:r>
      <w:r w:rsidR="00465DC2">
        <w:rPr>
          <w:rFonts w:cs="Traditional Arabic" w:hint="cs"/>
          <w:sz w:val="20"/>
          <w:szCs w:val="30"/>
          <w:rtl/>
          <w:lang w:val="en-GB"/>
        </w:rPr>
        <w:t xml:space="preserve">تعرض الحقائق الأساسية عن إجراء البلاغات بموجب البروتوكول الاختياري </w:t>
      </w:r>
      <w:r w:rsidR="00465DC2">
        <w:rPr>
          <w:rFonts w:cs="Traditional Arabic"/>
          <w:sz w:val="20"/>
          <w:szCs w:val="30"/>
          <w:rtl/>
          <w:lang w:val="en-GB"/>
        </w:rPr>
        <w:t>–</w:t>
      </w:r>
      <w:r w:rsidR="00465DC2">
        <w:rPr>
          <w:rFonts w:cs="Traditional Arabic" w:hint="cs"/>
          <w:sz w:val="20"/>
          <w:szCs w:val="30"/>
          <w:rtl/>
          <w:lang w:val="en-GB"/>
        </w:rPr>
        <w:t xml:space="preserve"> الحقائق والأوهام</w:t>
      </w:r>
    </w:p>
    <w:p w:rsidR="00083034" w:rsidRDefault="00083034" w:rsidP="00465DC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4- </w:t>
      </w:r>
      <w:r w:rsidR="00465DC2">
        <w:rPr>
          <w:rFonts w:cs="Traditional Arabic" w:hint="cs"/>
          <w:sz w:val="20"/>
          <w:szCs w:val="30"/>
          <w:rtl/>
          <w:lang w:val="en-GB"/>
        </w:rPr>
        <w:t>توضح مختلف الخطوات في عملية تقديم البلاغات الفردية والنظر فيها والبت فيها</w:t>
      </w:r>
    </w:p>
    <w:p w:rsidR="00083034" w:rsidRDefault="00083034" w:rsidP="00465DC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5 </w:t>
      </w:r>
      <w:r>
        <w:rPr>
          <w:rFonts w:cs="Traditional Arabic"/>
          <w:sz w:val="20"/>
          <w:szCs w:val="30"/>
          <w:rtl/>
          <w:lang w:val="en-GB"/>
        </w:rPr>
        <w:t>–</w:t>
      </w:r>
      <w:r>
        <w:rPr>
          <w:rFonts w:cs="Traditional Arabic" w:hint="cs"/>
          <w:sz w:val="20"/>
          <w:szCs w:val="30"/>
          <w:rtl/>
          <w:lang w:val="en-GB"/>
        </w:rPr>
        <w:t xml:space="preserve"> </w:t>
      </w:r>
      <w:r w:rsidR="00465DC2">
        <w:rPr>
          <w:rFonts w:cs="Traditional Arabic" w:hint="cs"/>
          <w:sz w:val="20"/>
          <w:szCs w:val="30"/>
          <w:rtl/>
          <w:lang w:val="en-GB"/>
        </w:rPr>
        <w:t>تقدِّم قائمة مرجعية تتعلق بتقديم البلاغات بحيث يفهم المشاركون أن هناك بعض المسائل التي يتعيَّن تحديدها وبعض الخطوات التي يتعيَّن اتباعها لتتمكن اللجنة من تسجيل البلاغ</w:t>
      </w:r>
    </w:p>
    <w:p w:rsidR="00083034" w:rsidRDefault="007A6D1F" w:rsidP="00465DC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الشريحة 6</w:t>
      </w:r>
      <w:r w:rsidR="002757C1">
        <w:rPr>
          <w:rFonts w:cs="Traditional Arabic" w:hint="cs"/>
          <w:sz w:val="20"/>
          <w:szCs w:val="30"/>
          <w:rtl/>
          <w:lang w:val="en-GB"/>
        </w:rPr>
        <w:t xml:space="preserve"> </w:t>
      </w:r>
      <w:r w:rsidR="00083034">
        <w:rPr>
          <w:rFonts w:cs="Traditional Arabic"/>
          <w:sz w:val="20"/>
          <w:szCs w:val="30"/>
          <w:rtl/>
          <w:lang w:val="en-GB"/>
        </w:rPr>
        <w:t>–</w:t>
      </w:r>
      <w:r w:rsidR="00083034">
        <w:rPr>
          <w:rFonts w:cs="Traditional Arabic" w:hint="cs"/>
          <w:sz w:val="20"/>
          <w:szCs w:val="30"/>
          <w:rtl/>
          <w:lang w:val="en-GB"/>
        </w:rPr>
        <w:t xml:space="preserve"> </w:t>
      </w:r>
      <w:r w:rsidR="00465DC2">
        <w:rPr>
          <w:rFonts w:cs="Traditional Arabic" w:hint="cs"/>
          <w:sz w:val="20"/>
          <w:szCs w:val="30"/>
          <w:rtl/>
          <w:lang w:val="en-GB"/>
        </w:rPr>
        <w:t>تعرض معايير القبول</w:t>
      </w:r>
    </w:p>
    <w:p w:rsidR="007A6D1F" w:rsidRDefault="007A6D1F" w:rsidP="00465DC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7 </w:t>
      </w:r>
      <w:r w:rsidR="00B805BE">
        <w:rPr>
          <w:rFonts w:cs="Traditional Arabic"/>
          <w:sz w:val="20"/>
          <w:szCs w:val="30"/>
          <w:rtl/>
          <w:lang w:val="en-GB"/>
        </w:rPr>
        <w:t>–</w:t>
      </w:r>
      <w:r>
        <w:rPr>
          <w:rFonts w:cs="Traditional Arabic" w:hint="cs"/>
          <w:sz w:val="20"/>
          <w:szCs w:val="30"/>
          <w:rtl/>
          <w:lang w:val="en-GB"/>
        </w:rPr>
        <w:t xml:space="preserve"> </w:t>
      </w:r>
      <w:r w:rsidR="00465DC2">
        <w:rPr>
          <w:rFonts w:cs="Traditional Arabic" w:hint="cs"/>
          <w:sz w:val="20"/>
          <w:szCs w:val="30"/>
          <w:rtl/>
          <w:lang w:val="en-GB"/>
        </w:rPr>
        <w:t>تناقش التدابير المؤقتة التي قد تمنع إلحاق ضرر لا يمكن رفعه بالضحايا</w:t>
      </w:r>
    </w:p>
    <w:p w:rsidR="00465DC2" w:rsidRDefault="00B805BE" w:rsidP="0037422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الشريح</w:t>
      </w:r>
      <w:r w:rsidR="00374228">
        <w:rPr>
          <w:rFonts w:cs="Traditional Arabic" w:hint="cs"/>
          <w:sz w:val="20"/>
          <w:szCs w:val="30"/>
          <w:rtl/>
          <w:lang w:val="en-GB"/>
        </w:rPr>
        <w:t>ة</w:t>
      </w:r>
      <w:r>
        <w:rPr>
          <w:rFonts w:cs="Traditional Arabic" w:hint="cs"/>
          <w:sz w:val="20"/>
          <w:szCs w:val="30"/>
          <w:rtl/>
          <w:lang w:val="en-GB"/>
        </w:rPr>
        <w:t xml:space="preserve"> 8 </w:t>
      </w:r>
      <w:r w:rsidR="00465DC2">
        <w:rPr>
          <w:rFonts w:cs="Traditional Arabic"/>
          <w:sz w:val="20"/>
          <w:szCs w:val="30"/>
          <w:rtl/>
          <w:lang w:val="en-GB"/>
        </w:rPr>
        <w:t>–</w:t>
      </w:r>
      <w:r w:rsidR="00465DC2">
        <w:rPr>
          <w:rFonts w:cs="Traditional Arabic" w:hint="cs"/>
          <w:sz w:val="20"/>
          <w:szCs w:val="30"/>
          <w:rtl/>
          <w:lang w:val="en-GB"/>
        </w:rPr>
        <w:t xml:space="preserve"> تعرض الخطوات المتخذة لاتخاذ قرار بشأن الموضوع، ونشر آراء اللجنة والمتابعة مع الدول الأطراف</w:t>
      </w:r>
    </w:p>
    <w:p w:rsidR="00083034" w:rsidRDefault="00465DC2" w:rsidP="0037422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w:t>
      </w:r>
      <w:r w:rsidR="00B805BE">
        <w:rPr>
          <w:rFonts w:cs="Traditional Arabic" w:hint="cs"/>
          <w:sz w:val="20"/>
          <w:szCs w:val="30"/>
          <w:rtl/>
          <w:lang w:val="en-GB"/>
        </w:rPr>
        <w:t>9</w:t>
      </w:r>
      <w:r w:rsidR="00083034">
        <w:rPr>
          <w:rFonts w:cs="Traditional Arabic" w:hint="cs"/>
          <w:sz w:val="20"/>
          <w:szCs w:val="30"/>
          <w:rtl/>
          <w:lang w:val="en-GB"/>
        </w:rPr>
        <w:t xml:space="preserve"> </w:t>
      </w:r>
      <w:r w:rsidR="00083034">
        <w:rPr>
          <w:rFonts w:cs="Traditional Arabic"/>
          <w:sz w:val="20"/>
          <w:szCs w:val="30"/>
          <w:rtl/>
          <w:lang w:val="en-GB"/>
        </w:rPr>
        <w:t>–</w:t>
      </w:r>
      <w:r w:rsidR="00083034">
        <w:rPr>
          <w:rFonts w:cs="Traditional Arabic" w:hint="cs"/>
          <w:sz w:val="20"/>
          <w:szCs w:val="30"/>
          <w:rtl/>
          <w:lang w:val="en-GB"/>
        </w:rPr>
        <w:t xml:space="preserve"> </w:t>
      </w:r>
      <w:r w:rsidR="00374228">
        <w:rPr>
          <w:rFonts w:cs="Traditional Arabic" w:hint="cs"/>
          <w:sz w:val="20"/>
          <w:szCs w:val="30"/>
          <w:rtl/>
          <w:lang w:val="en-GB"/>
        </w:rPr>
        <w:t>تعيِّن الخطوات المتبعة في إجراء التحقيق. وقد يرغب الميسِّر في أن يقرأ التحقيق الذي قامت به اللجنة المعنية بالقضاء على التمييز ضد المرأة ويشار إليه في المذكرات لزيادة المادة المضمونية في هذه الشريحة بتوضيح ملموس</w:t>
      </w:r>
    </w:p>
    <w:p w:rsidR="00083034" w:rsidRDefault="00083034" w:rsidP="0037422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w:t>
      </w:r>
      <w:r w:rsidR="00374228">
        <w:rPr>
          <w:rFonts w:cs="Traditional Arabic" w:hint="cs"/>
          <w:sz w:val="20"/>
          <w:szCs w:val="30"/>
          <w:rtl/>
          <w:lang w:val="en-GB"/>
        </w:rPr>
        <w:t>تعيِّن بعض مزايا البروتوكول الاختياري. ومن المهم التأكيد على أن التصديق على البروتوكول الاختياري ينطوي على مزايا للدول وكذلك للضحايا المزع</w:t>
      </w:r>
      <w:r w:rsidR="00A068AF">
        <w:rPr>
          <w:rFonts w:cs="Traditional Arabic" w:hint="cs"/>
          <w:sz w:val="20"/>
          <w:szCs w:val="30"/>
          <w:rtl/>
          <w:lang w:val="en-GB"/>
        </w:rPr>
        <w:t>و</w:t>
      </w:r>
      <w:r w:rsidR="00374228">
        <w:rPr>
          <w:rFonts w:cs="Traditional Arabic" w:hint="cs"/>
          <w:sz w:val="20"/>
          <w:szCs w:val="30"/>
          <w:rtl/>
          <w:lang w:val="en-GB"/>
        </w:rPr>
        <w:t>مين</w:t>
      </w:r>
    </w:p>
    <w:p w:rsidR="002757C1" w:rsidRDefault="002757C1" w:rsidP="0037422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11 </w:t>
      </w:r>
      <w:r>
        <w:rPr>
          <w:rFonts w:cs="Traditional Arabic"/>
          <w:sz w:val="20"/>
          <w:szCs w:val="30"/>
          <w:rtl/>
          <w:lang w:val="en-GB"/>
        </w:rPr>
        <w:t>–</w:t>
      </w:r>
      <w:r>
        <w:rPr>
          <w:rFonts w:cs="Traditional Arabic" w:hint="cs"/>
          <w:sz w:val="20"/>
          <w:szCs w:val="30"/>
          <w:rtl/>
          <w:lang w:val="en-GB"/>
        </w:rPr>
        <w:t xml:space="preserve"> </w:t>
      </w:r>
      <w:r w:rsidR="00374228">
        <w:rPr>
          <w:rFonts w:cs="Traditional Arabic" w:hint="cs"/>
          <w:sz w:val="20"/>
          <w:szCs w:val="30"/>
          <w:rtl/>
          <w:lang w:val="en-GB"/>
        </w:rPr>
        <w:t>تعيِّن بعض الأدوار المحتملة للدول ومنظمات المجتمع المدني والأمم المتحدة لدعم البروتوكول الاختياري. وينبغي استخدام الشريحتان 10 و11 لتشجيع المناقشة بشأن مزايا البروتوكول الاختياري وكذلك بشأن أدوار مختلف أصحاب المصلحة في دعمه.</w:t>
      </w:r>
    </w:p>
    <w:p w:rsidR="002757C1" w:rsidRDefault="002757C1" w:rsidP="00374228">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12 </w:t>
      </w:r>
      <w:r>
        <w:rPr>
          <w:rFonts w:cs="Traditional Arabic"/>
          <w:sz w:val="20"/>
          <w:szCs w:val="30"/>
          <w:rtl/>
          <w:lang w:val="en-GB"/>
        </w:rPr>
        <w:t>–</w:t>
      </w:r>
      <w:r>
        <w:rPr>
          <w:rFonts w:cs="Traditional Arabic" w:hint="cs"/>
          <w:sz w:val="20"/>
          <w:szCs w:val="30"/>
          <w:rtl/>
          <w:lang w:val="en-GB"/>
        </w:rPr>
        <w:t xml:space="preserve"> </w:t>
      </w:r>
      <w:r w:rsidR="00374228">
        <w:rPr>
          <w:rFonts w:cs="Traditional Arabic" w:hint="cs"/>
          <w:sz w:val="20"/>
          <w:szCs w:val="30"/>
          <w:rtl/>
          <w:lang w:val="en-GB"/>
        </w:rPr>
        <w:t>تقدِّم مصادر المعلومات الإضافية</w:t>
      </w:r>
      <w:r w:rsidR="001663BD">
        <w:rPr>
          <w:rFonts w:cs="Traditional Arabic" w:hint="cs"/>
          <w:sz w:val="20"/>
          <w:szCs w:val="30"/>
          <w:rtl/>
          <w:lang w:val="en-GB"/>
        </w:rPr>
        <w:t>.</w:t>
      </w:r>
    </w:p>
    <w:sectPr w:rsidR="002757C1"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FC6" w:rsidRDefault="00D15FC6">
      <w:r>
        <w:separator/>
      </w:r>
    </w:p>
  </w:endnote>
  <w:endnote w:type="continuationSeparator" w:id="0">
    <w:p w:rsidR="00D15FC6" w:rsidRDefault="00D1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3C1A02">
      <w:rPr>
        <w:rStyle w:val="PageNumber"/>
        <w:rFonts w:ascii="Arial" w:hAnsi="Arial" w:cs="Arial"/>
        <w:noProof/>
      </w:rPr>
      <w:t>1</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FC6" w:rsidRDefault="00D15FC6">
      <w:r>
        <w:separator/>
      </w:r>
    </w:p>
  </w:footnote>
  <w:footnote w:type="continuationSeparator" w:id="0">
    <w:p w:rsidR="00D15FC6" w:rsidRDefault="00D15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465DC2">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465DC2">
      <w:rPr>
        <w:rFonts w:ascii="Arial" w:hAnsi="Arial" w:cs="Arial" w:hint="cs"/>
        <w:i/>
        <w:sz w:val="20"/>
        <w:szCs w:val="20"/>
        <w:rtl/>
      </w:rPr>
      <w:t>8</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45729E4"/>
    <w:multiLevelType w:val="hybridMultilevel"/>
    <w:tmpl w:val="B798BCE2"/>
    <w:lvl w:ilvl="0" w:tplc="A7ECAA9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3C7A59C4"/>
    <w:multiLevelType w:val="hybridMultilevel"/>
    <w:tmpl w:val="E216F9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7B0EE2"/>
    <w:multiLevelType w:val="hybridMultilevel"/>
    <w:tmpl w:val="58EE01DA"/>
    <w:lvl w:ilvl="0" w:tplc="04090001">
      <w:start w:val="1"/>
      <w:numFmt w:val="bullet"/>
      <w:lvlText w:val=""/>
      <w:lvlJc w:val="left"/>
      <w:pPr>
        <w:tabs>
          <w:tab w:val="num" w:pos="360"/>
        </w:tabs>
        <w:ind w:left="360" w:hanging="360"/>
      </w:pPr>
      <w:rPr>
        <w:rFonts w:ascii="Symbol" w:hAnsi="Symbol"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6">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7">
    <w:nsid w:val="51DA6A9C"/>
    <w:multiLevelType w:val="hybridMultilevel"/>
    <w:tmpl w:val="15300EE6"/>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64BA050E"/>
    <w:multiLevelType w:val="hybridMultilevel"/>
    <w:tmpl w:val="8B8E4BB0"/>
    <w:lvl w:ilvl="0" w:tplc="A7ECAA9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711E03"/>
    <w:multiLevelType w:val="hybridMultilevel"/>
    <w:tmpl w:val="4468DA2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CF2934"/>
    <w:multiLevelType w:val="hybridMultilevel"/>
    <w:tmpl w:val="CB54D7A4"/>
    <w:lvl w:ilvl="0" w:tplc="A7ECAA9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8"/>
  </w:num>
  <w:num w:numId="4">
    <w:abstractNumId w:val="0"/>
  </w:num>
  <w:num w:numId="5">
    <w:abstractNumId w:val="13"/>
  </w:num>
  <w:num w:numId="6">
    <w:abstractNumId w:val="7"/>
  </w:num>
  <w:num w:numId="7">
    <w:abstractNumId w:val="12"/>
  </w:num>
  <w:num w:numId="8">
    <w:abstractNumId w:val="4"/>
  </w:num>
  <w:num w:numId="9">
    <w:abstractNumId w:val="6"/>
  </w:num>
  <w:num w:numId="10">
    <w:abstractNumId w:val="9"/>
  </w:num>
  <w:num w:numId="11">
    <w:abstractNumId w:val="11"/>
  </w:num>
  <w:num w:numId="12">
    <w:abstractNumId w:val="1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04F2"/>
    <w:rsid w:val="00022250"/>
    <w:rsid w:val="0002316C"/>
    <w:rsid w:val="00024964"/>
    <w:rsid w:val="0002527E"/>
    <w:rsid w:val="000266EE"/>
    <w:rsid w:val="00043334"/>
    <w:rsid w:val="00043828"/>
    <w:rsid w:val="00045AD4"/>
    <w:rsid w:val="000505CF"/>
    <w:rsid w:val="00053A37"/>
    <w:rsid w:val="0007020F"/>
    <w:rsid w:val="00081EE2"/>
    <w:rsid w:val="00083034"/>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1413E"/>
    <w:rsid w:val="0012021D"/>
    <w:rsid w:val="00120883"/>
    <w:rsid w:val="001226F9"/>
    <w:rsid w:val="00127CB0"/>
    <w:rsid w:val="00130DAD"/>
    <w:rsid w:val="00133CA1"/>
    <w:rsid w:val="0013632A"/>
    <w:rsid w:val="00142C25"/>
    <w:rsid w:val="0014409C"/>
    <w:rsid w:val="0015273F"/>
    <w:rsid w:val="00152C00"/>
    <w:rsid w:val="00156E7B"/>
    <w:rsid w:val="0016135F"/>
    <w:rsid w:val="001663BD"/>
    <w:rsid w:val="00167206"/>
    <w:rsid w:val="001751C9"/>
    <w:rsid w:val="00175630"/>
    <w:rsid w:val="00182BB3"/>
    <w:rsid w:val="0018795A"/>
    <w:rsid w:val="00193191"/>
    <w:rsid w:val="001B5212"/>
    <w:rsid w:val="001C0F5F"/>
    <w:rsid w:val="001C4C30"/>
    <w:rsid w:val="001C697F"/>
    <w:rsid w:val="001D747D"/>
    <w:rsid w:val="001D7ADB"/>
    <w:rsid w:val="001E590C"/>
    <w:rsid w:val="001E6820"/>
    <w:rsid w:val="001E73C9"/>
    <w:rsid w:val="0020246F"/>
    <w:rsid w:val="002106EA"/>
    <w:rsid w:val="00214B91"/>
    <w:rsid w:val="002320AB"/>
    <w:rsid w:val="00235CD0"/>
    <w:rsid w:val="00240BC0"/>
    <w:rsid w:val="00241835"/>
    <w:rsid w:val="00246C90"/>
    <w:rsid w:val="00255E26"/>
    <w:rsid w:val="0026201A"/>
    <w:rsid w:val="00262699"/>
    <w:rsid w:val="00264897"/>
    <w:rsid w:val="002675BF"/>
    <w:rsid w:val="00270564"/>
    <w:rsid w:val="00271066"/>
    <w:rsid w:val="002725B2"/>
    <w:rsid w:val="002745F6"/>
    <w:rsid w:val="002757C1"/>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71A1"/>
    <w:rsid w:val="00317326"/>
    <w:rsid w:val="00317B61"/>
    <w:rsid w:val="00320BC1"/>
    <w:rsid w:val="00322FD2"/>
    <w:rsid w:val="00336311"/>
    <w:rsid w:val="00347CF5"/>
    <w:rsid w:val="00347F07"/>
    <w:rsid w:val="00356C3D"/>
    <w:rsid w:val="003621E7"/>
    <w:rsid w:val="0036253A"/>
    <w:rsid w:val="003640D1"/>
    <w:rsid w:val="00364FB8"/>
    <w:rsid w:val="00367BDB"/>
    <w:rsid w:val="0037111A"/>
    <w:rsid w:val="00373776"/>
    <w:rsid w:val="0037387A"/>
    <w:rsid w:val="00374228"/>
    <w:rsid w:val="003747FC"/>
    <w:rsid w:val="00377368"/>
    <w:rsid w:val="0038188C"/>
    <w:rsid w:val="00384886"/>
    <w:rsid w:val="00384B3A"/>
    <w:rsid w:val="0038645D"/>
    <w:rsid w:val="003919F5"/>
    <w:rsid w:val="00394508"/>
    <w:rsid w:val="003A1533"/>
    <w:rsid w:val="003A1DA1"/>
    <w:rsid w:val="003A556F"/>
    <w:rsid w:val="003A66DA"/>
    <w:rsid w:val="003B0FC0"/>
    <w:rsid w:val="003B2611"/>
    <w:rsid w:val="003B5DE3"/>
    <w:rsid w:val="003B6D25"/>
    <w:rsid w:val="003C1A02"/>
    <w:rsid w:val="003C4BB8"/>
    <w:rsid w:val="003C5BA5"/>
    <w:rsid w:val="003C5D69"/>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6391B"/>
    <w:rsid w:val="00465DC2"/>
    <w:rsid w:val="00467C83"/>
    <w:rsid w:val="004743CE"/>
    <w:rsid w:val="00474980"/>
    <w:rsid w:val="00477076"/>
    <w:rsid w:val="004800D6"/>
    <w:rsid w:val="00482ED3"/>
    <w:rsid w:val="004831FD"/>
    <w:rsid w:val="00493C85"/>
    <w:rsid w:val="00495E08"/>
    <w:rsid w:val="00496A69"/>
    <w:rsid w:val="00497057"/>
    <w:rsid w:val="00497C8F"/>
    <w:rsid w:val="004A6F2B"/>
    <w:rsid w:val="004B5582"/>
    <w:rsid w:val="004C602F"/>
    <w:rsid w:val="004C75BE"/>
    <w:rsid w:val="004D1D7F"/>
    <w:rsid w:val="004D3FEE"/>
    <w:rsid w:val="004D54E0"/>
    <w:rsid w:val="004F006D"/>
    <w:rsid w:val="004F542D"/>
    <w:rsid w:val="005007D7"/>
    <w:rsid w:val="00503BA1"/>
    <w:rsid w:val="00504BD1"/>
    <w:rsid w:val="00505053"/>
    <w:rsid w:val="005148F4"/>
    <w:rsid w:val="005216CB"/>
    <w:rsid w:val="00526A08"/>
    <w:rsid w:val="00531E04"/>
    <w:rsid w:val="00532D6E"/>
    <w:rsid w:val="00534E2B"/>
    <w:rsid w:val="005404FC"/>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7FEB"/>
    <w:rsid w:val="005F3805"/>
    <w:rsid w:val="00603620"/>
    <w:rsid w:val="00611F8B"/>
    <w:rsid w:val="00623EA1"/>
    <w:rsid w:val="00631E37"/>
    <w:rsid w:val="00637BF3"/>
    <w:rsid w:val="00641E4C"/>
    <w:rsid w:val="00642E23"/>
    <w:rsid w:val="006432C5"/>
    <w:rsid w:val="00646A99"/>
    <w:rsid w:val="00646F24"/>
    <w:rsid w:val="00647373"/>
    <w:rsid w:val="00647910"/>
    <w:rsid w:val="0065178F"/>
    <w:rsid w:val="00654223"/>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A6D1F"/>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1709E"/>
    <w:rsid w:val="00822E0A"/>
    <w:rsid w:val="00824853"/>
    <w:rsid w:val="00837961"/>
    <w:rsid w:val="00855808"/>
    <w:rsid w:val="008561DC"/>
    <w:rsid w:val="00857E78"/>
    <w:rsid w:val="0086691A"/>
    <w:rsid w:val="00875A75"/>
    <w:rsid w:val="0088150F"/>
    <w:rsid w:val="008834BD"/>
    <w:rsid w:val="008836C8"/>
    <w:rsid w:val="008916BB"/>
    <w:rsid w:val="00894951"/>
    <w:rsid w:val="00895B6A"/>
    <w:rsid w:val="00896AA9"/>
    <w:rsid w:val="008A0A8E"/>
    <w:rsid w:val="008A5AED"/>
    <w:rsid w:val="008B7C96"/>
    <w:rsid w:val="008C0CCB"/>
    <w:rsid w:val="008C3405"/>
    <w:rsid w:val="008C3ADE"/>
    <w:rsid w:val="008C6CE1"/>
    <w:rsid w:val="008D0133"/>
    <w:rsid w:val="008D576C"/>
    <w:rsid w:val="008E3B6C"/>
    <w:rsid w:val="008E4F7B"/>
    <w:rsid w:val="008E57DD"/>
    <w:rsid w:val="008E5CA4"/>
    <w:rsid w:val="008E6CE0"/>
    <w:rsid w:val="008F52B6"/>
    <w:rsid w:val="00904BAB"/>
    <w:rsid w:val="00904F93"/>
    <w:rsid w:val="00905B19"/>
    <w:rsid w:val="00922978"/>
    <w:rsid w:val="0092311D"/>
    <w:rsid w:val="00934FF9"/>
    <w:rsid w:val="009351FA"/>
    <w:rsid w:val="0093692E"/>
    <w:rsid w:val="00943FCA"/>
    <w:rsid w:val="00944FCA"/>
    <w:rsid w:val="00957CF4"/>
    <w:rsid w:val="009635C8"/>
    <w:rsid w:val="009710E2"/>
    <w:rsid w:val="009778A8"/>
    <w:rsid w:val="009816E4"/>
    <w:rsid w:val="00981CB0"/>
    <w:rsid w:val="00991846"/>
    <w:rsid w:val="00997E6B"/>
    <w:rsid w:val="009B0017"/>
    <w:rsid w:val="009B7EA5"/>
    <w:rsid w:val="009C2EFE"/>
    <w:rsid w:val="009C3560"/>
    <w:rsid w:val="009C4239"/>
    <w:rsid w:val="009C4E47"/>
    <w:rsid w:val="009C5BAA"/>
    <w:rsid w:val="009D0AF5"/>
    <w:rsid w:val="009D0B9D"/>
    <w:rsid w:val="009D1DBD"/>
    <w:rsid w:val="009E14E0"/>
    <w:rsid w:val="009F5A87"/>
    <w:rsid w:val="00A068AF"/>
    <w:rsid w:val="00A125EB"/>
    <w:rsid w:val="00A13AF6"/>
    <w:rsid w:val="00A16E6D"/>
    <w:rsid w:val="00A2229E"/>
    <w:rsid w:val="00A22E8C"/>
    <w:rsid w:val="00A31FA1"/>
    <w:rsid w:val="00A35182"/>
    <w:rsid w:val="00A3680A"/>
    <w:rsid w:val="00A43DA0"/>
    <w:rsid w:val="00A45692"/>
    <w:rsid w:val="00A54448"/>
    <w:rsid w:val="00A70E54"/>
    <w:rsid w:val="00A74A6C"/>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405C2"/>
    <w:rsid w:val="00B540C1"/>
    <w:rsid w:val="00B719DF"/>
    <w:rsid w:val="00B75AF3"/>
    <w:rsid w:val="00B77FDE"/>
    <w:rsid w:val="00B805BE"/>
    <w:rsid w:val="00B80947"/>
    <w:rsid w:val="00B81C9B"/>
    <w:rsid w:val="00B82C11"/>
    <w:rsid w:val="00B83C2E"/>
    <w:rsid w:val="00B86F52"/>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A74"/>
    <w:rsid w:val="00BF1F85"/>
    <w:rsid w:val="00BF3312"/>
    <w:rsid w:val="00BF350E"/>
    <w:rsid w:val="00C00200"/>
    <w:rsid w:val="00C022F0"/>
    <w:rsid w:val="00C05C81"/>
    <w:rsid w:val="00C076F7"/>
    <w:rsid w:val="00C1150C"/>
    <w:rsid w:val="00C141F5"/>
    <w:rsid w:val="00C15BA0"/>
    <w:rsid w:val="00C16414"/>
    <w:rsid w:val="00C1654B"/>
    <w:rsid w:val="00C27CD7"/>
    <w:rsid w:val="00C35173"/>
    <w:rsid w:val="00C3677B"/>
    <w:rsid w:val="00C47CB1"/>
    <w:rsid w:val="00C56DA3"/>
    <w:rsid w:val="00C71A3A"/>
    <w:rsid w:val="00C72299"/>
    <w:rsid w:val="00C82F70"/>
    <w:rsid w:val="00C90708"/>
    <w:rsid w:val="00C97D19"/>
    <w:rsid w:val="00CA0EBA"/>
    <w:rsid w:val="00CA1F9C"/>
    <w:rsid w:val="00CB1829"/>
    <w:rsid w:val="00CB2E71"/>
    <w:rsid w:val="00CB36B4"/>
    <w:rsid w:val="00CB4552"/>
    <w:rsid w:val="00CB4566"/>
    <w:rsid w:val="00CB5C41"/>
    <w:rsid w:val="00CC124B"/>
    <w:rsid w:val="00CC1343"/>
    <w:rsid w:val="00CC353E"/>
    <w:rsid w:val="00CC53B0"/>
    <w:rsid w:val="00CD4264"/>
    <w:rsid w:val="00CE1253"/>
    <w:rsid w:val="00CE3DAA"/>
    <w:rsid w:val="00CE70D0"/>
    <w:rsid w:val="00CF1DE1"/>
    <w:rsid w:val="00D00023"/>
    <w:rsid w:val="00D007FC"/>
    <w:rsid w:val="00D10B30"/>
    <w:rsid w:val="00D15FC6"/>
    <w:rsid w:val="00D24097"/>
    <w:rsid w:val="00D26914"/>
    <w:rsid w:val="00D3132D"/>
    <w:rsid w:val="00D35A55"/>
    <w:rsid w:val="00D372CD"/>
    <w:rsid w:val="00D45729"/>
    <w:rsid w:val="00D557A8"/>
    <w:rsid w:val="00D6510B"/>
    <w:rsid w:val="00D651C7"/>
    <w:rsid w:val="00D72FA8"/>
    <w:rsid w:val="00D75239"/>
    <w:rsid w:val="00D760B7"/>
    <w:rsid w:val="00D80C4F"/>
    <w:rsid w:val="00D8674E"/>
    <w:rsid w:val="00D95BB4"/>
    <w:rsid w:val="00DB4401"/>
    <w:rsid w:val="00DB7D75"/>
    <w:rsid w:val="00DC7CA9"/>
    <w:rsid w:val="00DD5063"/>
    <w:rsid w:val="00DD7471"/>
    <w:rsid w:val="00DE1305"/>
    <w:rsid w:val="00DE3B88"/>
    <w:rsid w:val="00DE4C9F"/>
    <w:rsid w:val="00DF09CE"/>
    <w:rsid w:val="00DF39A9"/>
    <w:rsid w:val="00E01FCC"/>
    <w:rsid w:val="00E03E5C"/>
    <w:rsid w:val="00E0544F"/>
    <w:rsid w:val="00E05511"/>
    <w:rsid w:val="00E10545"/>
    <w:rsid w:val="00E12996"/>
    <w:rsid w:val="00E158DC"/>
    <w:rsid w:val="00E23509"/>
    <w:rsid w:val="00E24BEE"/>
    <w:rsid w:val="00E25694"/>
    <w:rsid w:val="00E27E92"/>
    <w:rsid w:val="00E32729"/>
    <w:rsid w:val="00E45148"/>
    <w:rsid w:val="00E468C8"/>
    <w:rsid w:val="00E46E47"/>
    <w:rsid w:val="00E51E33"/>
    <w:rsid w:val="00E52F33"/>
    <w:rsid w:val="00E534E4"/>
    <w:rsid w:val="00E55127"/>
    <w:rsid w:val="00E577A7"/>
    <w:rsid w:val="00E61F4E"/>
    <w:rsid w:val="00E652AC"/>
    <w:rsid w:val="00E65564"/>
    <w:rsid w:val="00E675C3"/>
    <w:rsid w:val="00E70764"/>
    <w:rsid w:val="00E7307F"/>
    <w:rsid w:val="00E80DEC"/>
    <w:rsid w:val="00E8759C"/>
    <w:rsid w:val="00E90B70"/>
    <w:rsid w:val="00E928F7"/>
    <w:rsid w:val="00EA2C0A"/>
    <w:rsid w:val="00EA7491"/>
    <w:rsid w:val="00EA7750"/>
    <w:rsid w:val="00EB33D4"/>
    <w:rsid w:val="00EB36D8"/>
    <w:rsid w:val="00EB7D6A"/>
    <w:rsid w:val="00ED677E"/>
    <w:rsid w:val="00EF3341"/>
    <w:rsid w:val="00F03B06"/>
    <w:rsid w:val="00F20A86"/>
    <w:rsid w:val="00F31F5F"/>
    <w:rsid w:val="00F327BB"/>
    <w:rsid w:val="00F416E9"/>
    <w:rsid w:val="00F42A27"/>
    <w:rsid w:val="00F44D70"/>
    <w:rsid w:val="00F50E48"/>
    <w:rsid w:val="00F65595"/>
    <w:rsid w:val="00F65971"/>
    <w:rsid w:val="00F67CFE"/>
    <w:rsid w:val="00F73A7E"/>
    <w:rsid w:val="00F75A76"/>
    <w:rsid w:val="00F80523"/>
    <w:rsid w:val="00F817DA"/>
    <w:rsid w:val="00F82735"/>
    <w:rsid w:val="00F83177"/>
    <w:rsid w:val="00F8543B"/>
    <w:rsid w:val="00F86CE0"/>
    <w:rsid w:val="00F87890"/>
    <w:rsid w:val="00F9044A"/>
    <w:rsid w:val="00FA0902"/>
    <w:rsid w:val="00FA1907"/>
    <w:rsid w:val="00FA26C8"/>
    <w:rsid w:val="00FA2B5F"/>
    <w:rsid w:val="00FB661B"/>
    <w:rsid w:val="00FC3CAC"/>
    <w:rsid w:val="00FD5840"/>
    <w:rsid w:val="00FD63A9"/>
    <w:rsid w:val="00FD7D16"/>
    <w:rsid w:val="00FE522B"/>
    <w:rsid w:val="00FF1883"/>
    <w:rsid w:val="00FF549D"/>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702BE-F31B-4C33-9B17-5AD3F5125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2</cp:revision>
  <cp:lastPrinted>2015-08-01T10:08:00Z</cp:lastPrinted>
  <dcterms:created xsi:type="dcterms:W3CDTF">2015-08-28T07:26:00Z</dcterms:created>
  <dcterms:modified xsi:type="dcterms:W3CDTF">2015-08-28T07:26:00Z</dcterms:modified>
</cp:coreProperties>
</file>